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51FED">
      <w:pPr>
        <w:jc w:val="center"/>
        <w:rPr>
          <w:rFonts w:hint="eastAsia"/>
          <w:b/>
          <w:bCs/>
          <w:sz w:val="36"/>
          <w:szCs w:val="36"/>
          <w:lang w:val="en-US" w:eastAsia="zh-CN"/>
        </w:rPr>
      </w:pPr>
      <w:r>
        <w:rPr>
          <w:rFonts w:hint="eastAsia"/>
          <w:b/>
          <w:bCs/>
          <w:sz w:val="36"/>
          <w:szCs w:val="36"/>
          <w:lang w:val="en-US" w:eastAsia="zh-C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b/>
          <w:bCs/>
          <w:sz w:val="36"/>
          <w:szCs w:val="36"/>
          <w:lang w:val="en-US" w:eastAsia="zh-CN"/>
        </w:rPr>
        <w:instrText xml:space="preserve">ADDIN CNKISM.UserStyle</w:instrText>
      </w:r>
      <w:r>
        <w:rPr>
          <w:rFonts w:hint="eastAsia"/>
          <w:b/>
          <w:bCs/>
          <w:sz w:val="36"/>
          <w:szCs w:val="36"/>
          <w:lang w:val="en-US" w:eastAsia="zh-CN"/>
        </w:rPr>
        <w:fldChar w:fldCharType="separate"/>
      </w:r>
      <w:r>
        <w:rPr>
          <w:rFonts w:hint="eastAsia"/>
          <w:b/>
          <w:bCs/>
          <w:sz w:val="36"/>
          <w:szCs w:val="36"/>
          <w:lang w:val="en-US" w:eastAsia="zh-CN"/>
        </w:rPr>
        <w:fldChar w:fldCharType="end"/>
      </w:r>
      <w:r>
        <w:rPr>
          <w:rFonts w:hint="eastAsia"/>
          <w:b/>
          <w:bCs/>
          <w:sz w:val="36"/>
          <w:szCs w:val="36"/>
          <w:lang w:val="en-US" w:eastAsia="zh-CN"/>
        </w:rPr>
        <w:t>浙江工业大学博士研究生导师公开发布信息表</w:t>
      </w:r>
    </w:p>
    <w:p w14:paraId="65A65488">
      <w:pPr>
        <w:jc w:val="center"/>
        <w:rPr>
          <w:rFonts w:hint="default"/>
          <w:b w:val="0"/>
          <w:bCs w:val="0"/>
          <w:sz w:val="21"/>
          <w:szCs w:val="21"/>
          <w:lang w:val="en-US" w:eastAsia="zh-CN"/>
        </w:rPr>
      </w:pPr>
      <w:r>
        <w:rPr>
          <w:rFonts w:hint="eastAsia"/>
          <w:b w:val="0"/>
          <w:bCs w:val="0"/>
          <w:sz w:val="21"/>
          <w:szCs w:val="21"/>
          <w:lang w:val="en-US" w:eastAsia="zh-CN"/>
        </w:rPr>
        <w:t>（中文授课用中文填写，英文授课用英文填写）</w:t>
      </w:r>
    </w:p>
    <w:tbl>
      <w:tblPr>
        <w:tblStyle w:val="3"/>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12A5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295" w:type="dxa"/>
            <w:vAlign w:val="center"/>
          </w:tcPr>
          <w:p w14:paraId="146D0AD6">
            <w:pPr>
              <w:jc w:val="center"/>
              <w:rPr>
                <w:rFonts w:hint="default"/>
                <w:vertAlign w:val="baseline"/>
                <w:lang w:val="en-US" w:eastAsia="zh-CN"/>
              </w:rPr>
            </w:pPr>
            <w:r>
              <w:rPr>
                <w:rFonts w:hint="eastAsia"/>
                <w:vertAlign w:val="baseline"/>
                <w:lang w:val="en-US" w:eastAsia="zh-CN"/>
              </w:rPr>
              <w:t>导师姓名</w:t>
            </w:r>
          </w:p>
        </w:tc>
        <w:tc>
          <w:tcPr>
            <w:tcW w:w="2903" w:type="dxa"/>
            <w:vAlign w:val="center"/>
          </w:tcPr>
          <w:p w14:paraId="4303F05D">
            <w:pPr>
              <w:jc w:val="center"/>
              <w:rPr>
                <w:rFonts w:hint="default" w:eastAsiaTheme="minorEastAsia"/>
                <w:vertAlign w:val="baseline"/>
                <w:lang w:val="en-US" w:eastAsia="zh-CN"/>
              </w:rPr>
            </w:pPr>
            <w:r>
              <w:rPr>
                <w:rFonts w:hint="default" w:ascii="Times New Roman" w:hAnsi="Times New Roman" w:cs="Times New Roman"/>
                <w:vertAlign w:val="baseline"/>
              </w:rPr>
              <w:t>Ning</w:t>
            </w:r>
            <w:r>
              <w:rPr>
                <w:rFonts w:hint="default" w:ascii="Times New Roman" w:hAnsi="Times New Roman" w:cs="Times New Roman"/>
                <w:vertAlign w:val="baseline"/>
                <w:lang w:val="en-US" w:eastAsia="zh-CN"/>
              </w:rPr>
              <w:t xml:space="preserve"> Xu</w:t>
            </w:r>
          </w:p>
        </w:tc>
        <w:tc>
          <w:tcPr>
            <w:tcW w:w="1167" w:type="dxa"/>
            <w:vAlign w:val="center"/>
          </w:tcPr>
          <w:p w14:paraId="164668A3">
            <w:pPr>
              <w:jc w:val="center"/>
              <w:rPr>
                <w:rFonts w:hint="default"/>
                <w:vertAlign w:val="baseline"/>
                <w:lang w:val="en-US" w:eastAsia="zh-CN"/>
              </w:rPr>
            </w:pPr>
            <w:r>
              <w:rPr>
                <w:rFonts w:hint="eastAsia"/>
                <w:vertAlign w:val="baseline"/>
                <w:lang w:val="en-US" w:eastAsia="zh-CN"/>
              </w:rPr>
              <w:t>职称</w:t>
            </w:r>
          </w:p>
        </w:tc>
        <w:tc>
          <w:tcPr>
            <w:tcW w:w="3033" w:type="dxa"/>
            <w:vAlign w:val="center"/>
          </w:tcPr>
          <w:p w14:paraId="29029EF5">
            <w:pPr>
              <w:jc w:val="center"/>
              <w:rPr>
                <w:rFonts w:hint="default" w:ascii="Times New Roman" w:hAnsi="Times New Roman" w:cs="Times New Roman"/>
                <w:vertAlign w:val="baseline"/>
              </w:rPr>
            </w:pPr>
            <w:r>
              <w:rPr>
                <w:rFonts w:hint="default" w:ascii="Times New Roman" w:hAnsi="Times New Roman" w:cs="Times New Roman"/>
                <w:vertAlign w:val="baseline"/>
              </w:rPr>
              <w:t>Associate Professor</w:t>
            </w:r>
          </w:p>
        </w:tc>
      </w:tr>
      <w:tr w14:paraId="21756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295" w:type="dxa"/>
            <w:vAlign w:val="center"/>
          </w:tcPr>
          <w:p w14:paraId="694F4027">
            <w:pPr>
              <w:jc w:val="center"/>
              <w:rPr>
                <w:rFonts w:hint="default"/>
                <w:vertAlign w:val="baseline"/>
                <w:lang w:val="en-US" w:eastAsia="zh-CN"/>
              </w:rPr>
            </w:pPr>
            <w:r>
              <w:rPr>
                <w:rFonts w:hint="eastAsia"/>
                <w:vertAlign w:val="baseline"/>
                <w:lang w:val="en-US" w:eastAsia="zh-CN"/>
              </w:rPr>
              <w:t>所在学院</w:t>
            </w:r>
          </w:p>
        </w:tc>
        <w:tc>
          <w:tcPr>
            <w:tcW w:w="2903" w:type="dxa"/>
            <w:vAlign w:val="center"/>
          </w:tcPr>
          <w:p w14:paraId="48E7F70E">
            <w:pPr>
              <w:jc w:val="center"/>
              <w:rPr>
                <w:vertAlign w:val="baseline"/>
              </w:rPr>
            </w:pPr>
            <w:r>
              <w:rPr>
                <w:rFonts w:hint="eastAsia" w:ascii="Times New Roman" w:hAnsi="Times New Roman" w:cs="Times New Roman"/>
                <w:vertAlign w:val="baseline"/>
                <w:lang w:val="en-US" w:eastAsia="zh-CN"/>
              </w:rPr>
              <w:t>S</w:t>
            </w:r>
            <w:r>
              <w:rPr>
                <w:rFonts w:hint="default" w:ascii="Times New Roman" w:hAnsi="Times New Roman" w:cs="Times New Roman"/>
                <w:vertAlign w:val="baseline"/>
              </w:rPr>
              <w:t>chool of pharmacy</w:t>
            </w:r>
          </w:p>
        </w:tc>
        <w:tc>
          <w:tcPr>
            <w:tcW w:w="1167" w:type="dxa"/>
            <w:vAlign w:val="center"/>
          </w:tcPr>
          <w:p w14:paraId="0B6D8B71">
            <w:pPr>
              <w:jc w:val="center"/>
              <w:rPr>
                <w:rFonts w:hint="default"/>
                <w:vertAlign w:val="baseline"/>
                <w:lang w:val="en-US" w:eastAsia="zh-CN"/>
              </w:rPr>
            </w:pPr>
            <w:r>
              <w:rPr>
                <w:rFonts w:hint="eastAsia"/>
                <w:vertAlign w:val="baseline"/>
                <w:lang w:val="en-US" w:eastAsia="zh-CN"/>
              </w:rPr>
              <w:t>电子邮箱</w:t>
            </w:r>
          </w:p>
        </w:tc>
        <w:tc>
          <w:tcPr>
            <w:tcW w:w="3033" w:type="dxa"/>
            <w:vAlign w:val="center"/>
          </w:tcPr>
          <w:p w14:paraId="2507074F">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xuning@zjut.edu.cn</w:t>
            </w:r>
          </w:p>
        </w:tc>
      </w:tr>
      <w:tr w14:paraId="6A56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098BC79E">
            <w:pPr>
              <w:jc w:val="center"/>
              <w:rPr>
                <w:rFonts w:hint="default"/>
                <w:vertAlign w:val="baseline"/>
                <w:lang w:val="en-US" w:eastAsia="zh-CN"/>
              </w:rPr>
            </w:pPr>
            <w:r>
              <w:rPr>
                <w:rFonts w:hint="eastAsia"/>
                <w:vertAlign w:val="baseline"/>
                <w:lang w:val="en-US" w:eastAsia="zh-CN"/>
              </w:rPr>
              <w:t>研究方向</w:t>
            </w:r>
          </w:p>
        </w:tc>
        <w:tc>
          <w:tcPr>
            <w:tcW w:w="7103" w:type="dxa"/>
            <w:gridSpan w:val="3"/>
            <w:vAlign w:val="center"/>
          </w:tcPr>
          <w:p w14:paraId="152CC4F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vertAlign w:val="baseline"/>
              </w:rPr>
            </w:pPr>
            <w:r>
              <w:rPr>
                <w:rFonts w:hint="default" w:ascii="Times New Roman" w:hAnsi="Times New Roman" w:cs="Times New Roman"/>
                <w:vertAlign w:val="baseline"/>
              </w:rPr>
              <w:t>1. Raman imaging of single-cell phenotype and drug action: using Raman spectroscopy and imaging analysis to distinguish cell phenotype and detect drug-induced cytotoxicity reaction, etc.</w:t>
            </w:r>
          </w:p>
          <w:p w14:paraId="30E2028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vertAlign w:val="baseline"/>
              </w:rPr>
            </w:pPr>
            <w:r>
              <w:rPr>
                <w:rFonts w:hint="default" w:ascii="Times New Roman" w:hAnsi="Times New Roman" w:cs="Times New Roman"/>
                <w:vertAlign w:val="baseline"/>
              </w:rPr>
              <w:t>2. Near-infrared hyperspectral imaging application for quality and plant growth monitoring of Chinese herbal medicines: using near-infrared hyperspectral imaging technology to study plant diseases, origin differentiation and content of active ingredients, in order to realise rapid detection of Chinese herbal medicines and ensure the quality of Chinese herbal medicines.</w:t>
            </w:r>
          </w:p>
          <w:p w14:paraId="3F41C5A8">
            <w:pPr>
              <w:keepNext w:val="0"/>
              <w:keepLines w:val="0"/>
              <w:pageBreakBefore w:val="0"/>
              <w:widowControl w:val="0"/>
              <w:kinsoku/>
              <w:wordWrap/>
              <w:overflowPunct/>
              <w:topLinePunct w:val="0"/>
              <w:autoSpaceDE/>
              <w:autoSpaceDN/>
              <w:bidi w:val="0"/>
              <w:adjustRightInd/>
              <w:snapToGrid/>
              <w:ind w:firstLine="400" w:firstLineChars="200"/>
              <w:jc w:val="left"/>
              <w:textAlignment w:val="auto"/>
              <w:rPr>
                <w:rFonts w:hint="default" w:ascii="Times New Roman" w:hAnsi="Times New Roman" w:cs="Times New Roman"/>
                <w:vertAlign w:val="baseline"/>
              </w:rPr>
            </w:pPr>
            <w:r>
              <w:rPr>
                <w:rFonts w:hint="default" w:ascii="Times New Roman" w:hAnsi="Times New Roman" w:cs="Times New Roman"/>
                <w:sz w:val="20"/>
                <w:szCs w:val="22"/>
                <w:vertAlign w:val="baseline"/>
                <w:lang w:val="en-US" w:eastAsia="zh-CN"/>
              </w:rPr>
              <w:t>ORCID：</w:t>
            </w:r>
            <w:r>
              <w:rPr>
                <w:rFonts w:hint="default" w:ascii="Times New Roman" w:hAnsi="Times New Roman" w:cs="Times New Roman"/>
                <w:sz w:val="20"/>
                <w:szCs w:val="22"/>
                <w:vertAlign w:val="baseline"/>
              </w:rPr>
              <w:t>orcid.org/0000-0003-0561-7520</w:t>
            </w:r>
          </w:p>
        </w:tc>
      </w:tr>
      <w:tr w14:paraId="4B66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3" w:hRule="atLeast"/>
        </w:trPr>
        <w:tc>
          <w:tcPr>
            <w:tcW w:w="1295" w:type="dxa"/>
            <w:vAlign w:val="center"/>
          </w:tcPr>
          <w:p w14:paraId="6708BC13">
            <w:pPr>
              <w:jc w:val="center"/>
              <w:rPr>
                <w:rFonts w:hint="eastAsia"/>
                <w:vertAlign w:val="baseline"/>
                <w:lang w:val="en-US" w:eastAsia="zh-CN"/>
              </w:rPr>
            </w:pPr>
            <w:r>
              <w:rPr>
                <w:rFonts w:hint="eastAsia"/>
                <w:vertAlign w:val="baseline"/>
                <w:lang w:val="en-US" w:eastAsia="zh-CN"/>
              </w:rPr>
              <w:t>个人简介</w:t>
            </w:r>
          </w:p>
        </w:tc>
        <w:tc>
          <w:tcPr>
            <w:tcW w:w="7103" w:type="dxa"/>
            <w:gridSpan w:val="3"/>
          </w:tcPr>
          <w:p w14:paraId="3832B6F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Ning Xu, female, Associate Professor, College of Pharmacy, Zhejiang University of Technology. She is a visiting scholar at Massachusetts Institute of Technology (MIT) and a member of Jiu San Society. D. in Infectious Diseases in Internal Medicine, Key Laboratory of Infectious Disease Diagnosis and Treatment, Zhejiang University, and Postdoctoral Fellow in Agricultural Machinery, School of Food and Biotechnology, Zhejiang University. He is dedicated to the research of </w:t>
            </w:r>
            <w:r>
              <w:rPr>
                <w:rFonts w:hint="eastAsia" w:ascii="Times New Roman" w:hAnsi="Times New Roman" w:cs="Times New Roman"/>
                <w:vertAlign w:val="baseline"/>
                <w:lang w:val="en-US" w:eastAsia="zh-CN"/>
              </w:rPr>
              <w:t>N</w:t>
            </w:r>
            <w:r>
              <w:rPr>
                <w:rFonts w:hint="default" w:ascii="Times New Roman" w:hAnsi="Times New Roman" w:cs="Times New Roman"/>
                <w:vertAlign w:val="baseline"/>
                <w:lang w:val="en-US" w:eastAsia="zh-CN"/>
              </w:rPr>
              <w:t>ear-</w:t>
            </w:r>
            <w:r>
              <w:rPr>
                <w:rFonts w:hint="eastAsia" w:ascii="Times New Roman" w:hAnsi="Times New Roman" w:cs="Times New Roman"/>
                <w:vertAlign w:val="baseline"/>
                <w:lang w:val="en-US" w:eastAsia="zh-CN"/>
              </w:rPr>
              <w:t>I</w:t>
            </w:r>
            <w:r>
              <w:rPr>
                <w:rFonts w:hint="default" w:ascii="Times New Roman" w:hAnsi="Times New Roman" w:cs="Times New Roman"/>
                <w:vertAlign w:val="baseline"/>
                <w:lang w:val="en-US" w:eastAsia="zh-CN"/>
              </w:rPr>
              <w:t xml:space="preserve">nfrared and Raman spectroscopic imaging applications in the field of medicine, including Raman imaging of single-cell phenotyping and drug action, and </w:t>
            </w:r>
            <w:r>
              <w:rPr>
                <w:rFonts w:hint="eastAsia" w:ascii="Times New Roman" w:hAnsi="Times New Roman" w:cs="Times New Roman"/>
                <w:vertAlign w:val="baseline"/>
                <w:lang w:val="en-US" w:eastAsia="zh-CN"/>
              </w:rPr>
              <w:t>N</w:t>
            </w:r>
            <w:r>
              <w:rPr>
                <w:rFonts w:hint="default" w:ascii="Times New Roman" w:hAnsi="Times New Roman" w:cs="Times New Roman"/>
                <w:vertAlign w:val="baseline"/>
                <w:lang w:val="en-US" w:eastAsia="zh-CN"/>
              </w:rPr>
              <w:t>ear-</w:t>
            </w:r>
            <w:r>
              <w:rPr>
                <w:rFonts w:hint="eastAsia" w:ascii="Times New Roman" w:hAnsi="Times New Roman" w:cs="Times New Roman"/>
                <w:vertAlign w:val="baseline"/>
                <w:lang w:val="en-US" w:eastAsia="zh-CN"/>
              </w:rPr>
              <w:t>I</w:t>
            </w:r>
            <w:r>
              <w:rPr>
                <w:rFonts w:hint="default" w:ascii="Times New Roman" w:hAnsi="Times New Roman" w:cs="Times New Roman"/>
                <w:vertAlign w:val="baseline"/>
                <w:lang w:val="en-US" w:eastAsia="zh-CN"/>
              </w:rPr>
              <w:t>nfrared hyperspectral imaging applications for monitoring the quality of Chinese herbal medicines and plant growth. He has presided over and completed more than ten projects of National Natural Science Foundation of China and Provincial Natural Science Foundation of China, and is in charge of two sub-projects of the Provincial Pointed Soldier Programme.</w:t>
            </w:r>
          </w:p>
          <w:p w14:paraId="49C8CD7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Lecturer of Cell Biology, Cell and Molecular Biology (bilingual), Research Methods in Pharmaceutical Chemical Biology (bilingual), Innovative Engineering Practice, Innovative Entrepreneurship Planning and Practice and other courses, presided over and completed a number of teaching reforms. She is an excellent instructor of national and provincial Internet Plus Innovation and Entrepreneurship, and has guided students to win several gold and silver awards in the main track of China International ‘Internet Plus’ Innovation and Entrepreneurship Competition for College Students, as well as silver awards in the Challenge Cup China College Students' Entrepreneurship Plan Competition.</w:t>
            </w:r>
          </w:p>
          <w:p w14:paraId="57563A6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He has published more than 20 papers in Trends in Analytical Chemistry, Analytical Chemistry, Journal of medicinal chemistry and other high level SCI journals. Representative papers:</w:t>
            </w:r>
          </w:p>
          <w:p w14:paraId="680E345B">
            <w:pPr>
              <w:keepNext w:val="0"/>
              <w:keepLines w:val="0"/>
              <w:pageBreakBefore w:val="0"/>
              <w:widowControl w:val="0"/>
              <w:numPr>
                <w:ilvl w:val="0"/>
                <w:numId w:val="1"/>
              </w:numPr>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Xu, Ning  et al. “The applications of bio-orthogonal Raman labels for visualizing lipids in eukaryotic cells.”</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Trends in Analytical Chemistry</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vol. 183 (2025): 118099.doi:10.1016/j.trac.2024.118099</w:t>
            </w:r>
          </w:p>
          <w:p w14:paraId="2BF82070">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jc w:val="left"/>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Xu, Ying et al. ‘Phenotype Identification of HeLa Cells Knockout CDK6 Gene Based on Label-Free Raman Imaging.’ Analytical chemistry vol. 94, 25 (2022): 8890-8898.doi:10.1021/acs.analchem.2c00188 </w:t>
            </w:r>
          </w:p>
          <w:p w14:paraId="4F9F5D9A">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jc w:val="left"/>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Xu, Ning et al. ‘Label-free Raman spectroscopy monitoring of cytotoxic response induced by a telomerase inhibitor.’ Sensors and Actuators B293.AUG.(2019):1-10.</w:t>
            </w:r>
            <w:r>
              <w:rPr>
                <w:rFonts w:hint="eastAsia" w:ascii="Times New Roman" w:hAnsi="Times New Roman" w:cs="Times New Roman"/>
                <w:vertAlign w:val="baseline"/>
                <w:lang w:val="en-US" w:eastAsia="zh-CN"/>
              </w:rPr>
              <w:t xml:space="preserve">doi: </w:t>
            </w:r>
            <w:r>
              <w:rPr>
                <w:rFonts w:hint="eastAsia" w:ascii="Times New Roman" w:hAnsi="Times New Roman" w:cs="Times New Roman"/>
                <w:vertAlign w:val="baseline"/>
                <w:lang w:val="en-US" w:eastAsia="zh-CN"/>
              </w:rPr>
              <w:fldChar w:fldCharType="begin"/>
            </w:r>
            <w:r>
              <w:rPr>
                <w:rFonts w:hint="eastAsia" w:ascii="Times New Roman" w:hAnsi="Times New Roman" w:cs="Times New Roman"/>
                <w:vertAlign w:val="baseline"/>
                <w:lang w:val="en-US" w:eastAsia="zh-CN"/>
              </w:rPr>
              <w:instrText xml:space="preserve"> HYPERLINK "https://www.x-mol.com/paperRedirect/5652617" \t "https://www.x-mol.com/paper/_blank" </w:instrText>
            </w:r>
            <w:r>
              <w:rPr>
                <w:rFonts w:hint="eastAsia" w:ascii="Times New Roman" w:hAnsi="Times New Roman" w:cs="Times New Roman"/>
                <w:vertAlign w:val="baseline"/>
                <w:lang w:val="en-US" w:eastAsia="zh-CN"/>
              </w:rPr>
              <w:fldChar w:fldCharType="separate"/>
            </w:r>
            <w:r>
              <w:rPr>
                <w:rFonts w:hint="eastAsia" w:ascii="Times New Roman" w:hAnsi="Times New Roman" w:cs="Times New Roman"/>
                <w:vertAlign w:val="baseline"/>
                <w:lang w:val="en-US" w:eastAsia="zh-CN"/>
              </w:rPr>
              <w:t>10.1016/j.snb.2019.03.146</w:t>
            </w:r>
            <w:r>
              <w:rPr>
                <w:rFonts w:hint="eastAsia" w:ascii="Times New Roman" w:hAnsi="Times New Roman" w:cs="Times New Roman"/>
                <w:vertAlign w:val="baseline"/>
                <w:lang w:val="en-US" w:eastAsia="zh-CN"/>
              </w:rPr>
              <w:fldChar w:fldCharType="end"/>
            </w:r>
          </w:p>
          <w:p w14:paraId="111CFB3B">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jc w:val="left"/>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Chen, Zhao et al. ‘Novel 1,3,4-Selenadiazole-Containing Kidney-Type Glutaminase Inhibitors Showed Improved Cellular Uptake and Antitumor Activity.’ Journal of medicinal chemistry vol. 62,2 (2019). 589-603.doi:</w:t>
            </w:r>
            <w:r>
              <w:rPr>
                <w:rFonts w:hint="eastAsia" w:ascii="Times New Roman" w:hAnsi="Times New Roman" w:cs="Times New Roman"/>
                <w:vertAlign w:val="baseline"/>
                <w:lang w:val="en-US" w:eastAsia="zh-CN"/>
              </w:rPr>
              <w:fldChar w:fldCharType="begin"/>
            </w:r>
            <w:r>
              <w:rPr>
                <w:rFonts w:hint="eastAsia" w:ascii="Times New Roman" w:hAnsi="Times New Roman" w:cs="Times New Roman"/>
                <w:vertAlign w:val="baseline"/>
                <w:lang w:val="en-US" w:eastAsia="zh-CN"/>
              </w:rPr>
              <w:instrText xml:space="preserve"> HYPERLINK "https://www.x-mol.com/paperRedirect/929518" \t "https://www.x-mol.com/paper/_blank" </w:instrText>
            </w:r>
            <w:r>
              <w:rPr>
                <w:rFonts w:hint="eastAsia" w:ascii="Times New Roman" w:hAnsi="Times New Roman" w:cs="Times New Roman"/>
                <w:vertAlign w:val="baseline"/>
                <w:lang w:val="en-US" w:eastAsia="zh-CN"/>
              </w:rPr>
              <w:fldChar w:fldCharType="separate"/>
            </w:r>
            <w:r>
              <w:rPr>
                <w:rFonts w:hint="eastAsia" w:ascii="Times New Roman" w:hAnsi="Times New Roman" w:cs="Times New Roman"/>
                <w:vertAlign w:val="baseline"/>
                <w:lang w:val="en-US" w:eastAsia="zh-CN"/>
              </w:rPr>
              <w:t>10.1021/acs.jmedchem.8b01198</w:t>
            </w:r>
            <w:r>
              <w:rPr>
                <w:rFonts w:hint="eastAsia" w:ascii="Times New Roman" w:hAnsi="Times New Roman" w:cs="Times New Roman"/>
                <w:vertAlign w:val="baseline"/>
                <w:lang w:val="en-US" w:eastAsia="zh-CN"/>
              </w:rPr>
              <w:fldChar w:fldCharType="end"/>
            </w:r>
            <w:r>
              <w:rPr>
                <w:rFonts w:hint="default" w:ascii="Times New Roman" w:hAnsi="Times New Roman" w:cs="Times New Roman"/>
                <w:vertAlign w:val="baseline"/>
                <w:lang w:val="en-US" w:eastAsia="zh-CN"/>
              </w:rPr>
              <w:t xml:space="preserve"> </w:t>
            </w:r>
          </w:p>
        </w:tc>
      </w:tr>
      <w:tr w14:paraId="4D54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33840AA8">
            <w:pPr>
              <w:jc w:val="both"/>
              <w:rPr>
                <w:rFonts w:hint="eastAsia"/>
                <w:vertAlign w:val="baseline"/>
                <w:lang w:val="en-US" w:eastAsia="zh-CN"/>
              </w:rPr>
            </w:pPr>
          </w:p>
          <w:p w14:paraId="2444E7F9">
            <w:pPr>
              <w:jc w:val="both"/>
              <w:rPr>
                <w:rFonts w:hint="default"/>
                <w:vertAlign w:val="baseline"/>
                <w:lang w:val="en-US" w:eastAsia="zh-CN"/>
              </w:rPr>
            </w:pPr>
            <w:r>
              <w:rPr>
                <w:rFonts w:hint="eastAsia"/>
                <w:vertAlign w:val="baseline"/>
                <w:lang w:val="en-US" w:eastAsia="zh-CN"/>
              </w:rPr>
              <w:t>对拟招学生的期望（选填）</w:t>
            </w:r>
          </w:p>
          <w:p w14:paraId="60B569CB">
            <w:pPr>
              <w:jc w:val="center"/>
              <w:rPr>
                <w:rFonts w:hint="default"/>
                <w:vertAlign w:val="baseline"/>
                <w:lang w:val="en-US" w:eastAsia="zh-CN"/>
              </w:rPr>
            </w:pPr>
          </w:p>
        </w:tc>
        <w:tc>
          <w:tcPr>
            <w:tcW w:w="7103" w:type="dxa"/>
            <w:gridSpan w:val="3"/>
          </w:tcPr>
          <w:p w14:paraId="3107899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Background in pharmacy, cell biology, biopharmaceuticals, biomedical engineering, etc. is desired, and knowledge of big data processing, artificial intelligence, etc. is particularly desirable.</w:t>
            </w:r>
          </w:p>
          <w:p w14:paraId="674CC76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Possess solid theoretical foundation and strong innovative spirit, able to think independently and propose scientific research problems; skilled in the use of instrumentation and analytical software related to spectral imaging, etc.; good research planning and execution ability, able to promote scientific research according to plan and achieve milestone results.</w:t>
            </w:r>
          </w:p>
          <w:p w14:paraId="3ED9575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Strong interest in scientific research, willing to devote a lot of time and energy to in-depth research; meticulous treatment of experimental data and scientific research results; good teamwork spirit, able to communicate and co-operate effectively with supervisors, classmates and other researchers.</w:t>
            </w:r>
          </w:p>
          <w:p w14:paraId="267ED52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Fluent in English</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Good at communicating with team members, able to write English papers for international academic communication. Be of good character, physically and mentally healthy; be able to cope with difficulties and setbacks encountered in the process of scientific research.</w:t>
            </w:r>
          </w:p>
        </w:tc>
      </w:tr>
      <w:tr w14:paraId="2246D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19CD2C73">
            <w:pPr>
              <w:jc w:val="center"/>
              <w:rPr>
                <w:rFonts w:hint="default"/>
                <w:vertAlign w:val="baseline"/>
                <w:lang w:val="en-US" w:eastAsia="zh-CN"/>
              </w:rPr>
            </w:pPr>
            <w:r>
              <w:rPr>
                <w:rFonts w:hint="eastAsia"/>
                <w:vertAlign w:val="baseline"/>
                <w:lang w:val="en-US" w:eastAsia="zh-CN"/>
              </w:rPr>
              <w:t>备注</w:t>
            </w:r>
          </w:p>
        </w:tc>
        <w:tc>
          <w:tcPr>
            <w:tcW w:w="7103" w:type="dxa"/>
            <w:gridSpan w:val="3"/>
          </w:tcPr>
          <w:p w14:paraId="6E28CB47">
            <w:pPr>
              <w:rPr>
                <w:rFonts w:hint="eastAsia"/>
                <w:vertAlign w:val="baseline"/>
                <w:lang w:val="en-US" w:eastAsia="zh-CN"/>
              </w:rPr>
            </w:pPr>
          </w:p>
        </w:tc>
      </w:tr>
    </w:tbl>
    <w:p w14:paraId="6244B54D">
      <w:pPr>
        <w:jc w:val="center"/>
        <w:rPr>
          <w:rFonts w:hint="default"/>
          <w:b w:val="0"/>
          <w:bCs w:val="0"/>
          <w:sz w:val="21"/>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9CC309"/>
    <w:multiLevelType w:val="singleLevel"/>
    <w:tmpl w:val="649CC30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iYzRlYjcyZWZlOWNlOTM2OTM4NjZmYzRhMDYwN2IifQ=="/>
  </w:docVars>
  <w:rsids>
    <w:rsidRoot w:val="1457759B"/>
    <w:rsid w:val="00CF5500"/>
    <w:rsid w:val="06B9051A"/>
    <w:rsid w:val="07FE491D"/>
    <w:rsid w:val="095347F5"/>
    <w:rsid w:val="09E1552F"/>
    <w:rsid w:val="0D54280D"/>
    <w:rsid w:val="0DC01C7B"/>
    <w:rsid w:val="0F2F1860"/>
    <w:rsid w:val="0FA675C7"/>
    <w:rsid w:val="1457759B"/>
    <w:rsid w:val="19FC61C0"/>
    <w:rsid w:val="1B0E2C78"/>
    <w:rsid w:val="1CA078F9"/>
    <w:rsid w:val="202205A2"/>
    <w:rsid w:val="21D841C9"/>
    <w:rsid w:val="233D0598"/>
    <w:rsid w:val="244B20BB"/>
    <w:rsid w:val="27670BA6"/>
    <w:rsid w:val="2CF717B7"/>
    <w:rsid w:val="30594760"/>
    <w:rsid w:val="342D04B5"/>
    <w:rsid w:val="35D111A5"/>
    <w:rsid w:val="371F3DE4"/>
    <w:rsid w:val="397B0DBD"/>
    <w:rsid w:val="3C6E6DE8"/>
    <w:rsid w:val="3CE71A6C"/>
    <w:rsid w:val="41887BF8"/>
    <w:rsid w:val="43252782"/>
    <w:rsid w:val="4408510A"/>
    <w:rsid w:val="45D669E3"/>
    <w:rsid w:val="46676E6E"/>
    <w:rsid w:val="47CD743C"/>
    <w:rsid w:val="481530FD"/>
    <w:rsid w:val="53C90F08"/>
    <w:rsid w:val="627B5AC3"/>
    <w:rsid w:val="64D10B60"/>
    <w:rsid w:val="662D17CA"/>
    <w:rsid w:val="6F2B71EA"/>
    <w:rsid w:val="6F4356F6"/>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666</Words>
  <Characters>3976</Characters>
  <Lines>0</Lines>
  <Paragraphs>0</Paragraphs>
  <TotalTime>20</TotalTime>
  <ScaleCrop>false</ScaleCrop>
  <LinksUpToDate>false</LinksUpToDate>
  <CharactersWithSpaces>4548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ning</cp:lastModifiedBy>
  <dcterms:modified xsi:type="dcterms:W3CDTF">2025-01-02T06:55:30Z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C76EAD1F0F6B4B51A82ADEF7DE9FCF0E_13</vt:lpwstr>
  </property>
  <property fmtid="{D5CDD505-2E9C-101B-9397-08002B2CF9AE}" pid="4" name="KSOTemplateDocerSaveRecord">
    <vt:lpwstr>eyJoZGlkIjoiMWMzNTk5MTM1MzBiN2U1ZjlhYjQ4ZTNlMzYxOTVkOWIiLCJ1c2VySWQiOiI1MDA5MTA5NzAifQ==</vt:lpwstr>
  </property>
</Properties>
</file>